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al Consejero de Medio Ambiente y Turismo del Gobierno de Aragón, la siguiente Pregunta relativa a la propuesta de trasvase del río Ebro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sentir unánime de los aragoneses/as contra el trasvase del Ebro ha sido traído a las Cortes de Aragón en forma de numerosas iniciativas, resoluciones, planes y programas. De hecho, nuestro Estatuto de Autonomía de Aragón, aprobado con un amplísimo consenso de las fuerzas políticas aragonesas, está claramente imbuido por la oposición al trasvase del Ebro. Con ello, la defensa de una reivindicación histórica de los aragoneses alcanzaba con rotundidad la norma institucional básica de Aragón.</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Directiva 2000/60/CE del Parlamento Europeo y el Consejo por la que se establece un marco comunitario de actuación en el ámbito de política de aguas determina que “el agua no es un bien comercial como los demás, sino un patrimonio que hay que proteger, defender y tratar como tal”.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últimas declaraciones del consejero catalán de Acción Climática, David Mascort, no son más que otro ataque al caudal ecológico del río, siendo una mercantilización del agua contraria a la directiva europea citada anteriormente.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¿Cómo va a hacer frente su consejería a la solicitud del Gobierno de la Generalidad de Cataluña de realizar un trasvase en el rio Ebro para garantizar el riego en el Priorato?</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16 de enero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