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3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yxmyofwq3n65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7fd1xptz7hkx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130/2</w:t>
      </w:r>
      <w:bookmarkStart w:colFirst="0" w:colLast="0" w:name="8xz8836ics79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sobre la adopción de medidas destinadas a la protección del patrimonio histórico de Aragón afectado por la Ley de Memoria Democrática nacional, la siguiente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ea6hd9fzdqei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MODIFICACIÓN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Modificar la redacción del punto número 2 quedando con la siguiente redacción:</w:t>
        <w:br w:type="textWrapping"/>
        <w:br w:type="textWrapping"/>
        <w:t xml:space="preserve">2. Garantizar la conservación de la Cruz de Bezas en su actual ubicación en condiciones de seguridad.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sigyxfjl97gz" w:id="4"/>
    <w:bookmarkEnd w:id="4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2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f7d3q3js3x0y" w:id="5"/>
    <w:bookmarkEnd w:id="5"/>
    <w:p w:rsidR="00000000" w:rsidDel="00000000" w:rsidP="00000000" w:rsidRDefault="00000000" w:rsidRPr="00000000" w14:paraId="0000000F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32n8w2ldfx0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4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5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sqqpg3re4kfq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21 de abril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