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Sanidad del Gobierno de Aragón, la siguiente Pregunta sobre el cuidado integral de los enfermos pediátricos y sus acompañantes durante periodos de hospitalización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8r4z07adg658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¿Tiene previsto el Departamento de Sanidad implantar en Aragón un sistema que garantice la gratuidad de las comidas a los acompañantes de los pacientes pediátricos hospitalizados, tal y como ya ocurre en otras comunidades autónomas como Navarra o la Comunidad Valenciana?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06 de octubre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