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66675</wp:posOffset>
            </wp:positionV>
            <wp:extent cx="2075180" cy="61722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9q0m4nca60b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D./Dª.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Alberto Izquierdo Vicente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Portavoz de la Agrupación Parlamentaria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Partido Aragonés – Grupo Mixto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acuerdo con lo establecido en los artículos 252 y siguientes del Reglamento de las Cortes de Aragón, formula</w:t>
      </w:r>
      <w:bookmarkStart w:colFirst="0" w:colLast="0" w:name="723qxphf0859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siguiente Interpelación a 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Consejera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Presidencia,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Economía y Justicia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relativa a la política general en materia de atracción de grandes empresas, solicitando su tramitación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Vistos los anuncios de inversiones muy importantes para nuestra Comunidad.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INTERPELACIÓN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¿Cuál es la política general del Gobierno de Aragón 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materia de atracción de grandes empresas en la Provincia de Teruel, y concretamente en el diseño y ejecución de las infraestructuras precisas para que las empresas valoren su asentamiento en la Provincia?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1657350</wp:posOffset>
            </wp:positionH>
            <wp:positionV relativeFrom="paragraph">
              <wp:posOffset>8255</wp:posOffset>
            </wp:positionV>
            <wp:extent cx="3311279" cy="2579990"/>
            <wp:effectExtent b="0" l="0" r="0" t="0"/>
            <wp:wrapNone/>
            <wp:docPr descr="Imagen que contiene Logotip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1279" cy="2579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Portavoz 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Alberto Izquierdo Vicente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Zaragoza, a 14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