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Agricultura, Ganadería y Alimentación del Gobierno de Aragón, la siguiente Pregunta relativa a la planificación para luchar contra la mosca negra en Aragón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Comenzando este año 2025, y viendo los problemas que generó la mosca negra a los ganaderos de las zonas afectadas durante el 2024.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medidas va a implementar el departamento para que no se repitan los problemas ocasionados a los ganaderos por la mosca negra?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31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