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3" name="image3.png"/>
            <a:graphic>
              <a:graphicData uri="http://schemas.openxmlformats.org/drawingml/2006/picture">
                <pic:pic>
                  <pic:nvPicPr>
                    <pic:cNvPr descr="Canvas Logo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Alberto Izquierdo Vicente, Portavoz de la Agrupación Parlamentaria del Partido Aragonés (Grupo Mixto), de acuerdo con lo establecido en el artículo 259 y siguientes del Reglamento de las Cortes de Aragón, formula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 la Consejera de Educación, Cultura y Deporte del Gobierno de Aragón, la siguiente Pregunta relativa al programa escolar de consumo de frutas, hortalizas y leche en colegios de Aragón para su respuesta oral ante el Pleno de la Cámara.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PREGUNTA</w:t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¿Considera su departamento que el programa escolar de consumo de frutas, hortalizas y leche en colegios de Aragón debe fomentar el consumo de productos de nuestra Comunidad?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1655445</wp:posOffset>
            </wp:positionH>
            <wp:positionV relativeFrom="paragraph">
              <wp:posOffset>436880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200" w:before="0" w:line="276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15 de mayo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