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Alberto Izquierdo Vicente, Portavoz de la Agrupación Parlamentaria del Partido Aragonés- Grupo Mixto, de acuerdo con lo establecido en el artículo 267 y siguientes del Reglamento de las Cortes de Aragón, de conformidad con lo establecido, presenta la siguiente Proposición no de Ley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sobre la reparación urgente del puente del Seminario en la carretera A-222 (Belchite)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solicitando su tramitación ante la comisión de Fomento, Vivienda, Logística y Cohesión Territorial.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13 y 14 de junio de 2025, unas intensas riadas destruyeron el puente del Seminario sobre el río Aguas Vivas en la carretera autonómica A-222 a su paso por Belchite. Este puente constituye un punto estratégico de comunicación para las comarcas del Campo de Belchite y de las Cuencas Mineras, así como para la conexión con Zaragoza capital. Desde entonces, la carretera permanece cortada, obligando a miles de usuarios a dar rodeos superiores a 20 kilómetros por carreteras estrechas y sin condiciones de seguridad adecuadas.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corte afecta de manera directa a trabajadores, estudiantes, transportistas y pacientes que deben desplazarse a diario, provocando graves perjuicios para la economía local, la seguridad vial y la vertebración del territorio. La indignación vecinal es creciente, especialmente ante la falta de plazos claros para la reconstrucción y la estimación inicial de un periodo de hasta seis meses para restablecer el tráfico normal.</w:t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solución provisional, el 95 % de los vehículos está utilizando un camino rural de 3,5 kilómetros paralelo a la carretera, recorrido por autobuses y camiones, que requiere urgentemente labores de ensanchamiento, refuerzo del firme y señalización adecuada para garantizar un tránsito seguro mientras duren las obras de reconstrucción definitiva.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un territorio como Aragón, donde la cohesión territorial es un principio estatutario, no es admisible mantener cortada una vía estratégica durante meses sin ofrecer soluciones inmediatas que aseguren la movilidad y la seguridad de sus usuarios. La situación exige una actuación urgente y prioritaria del Gobierno de Aragón.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Proposición No de Ley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       Las Cortes de Aragón instan al Gobierno de Aragón a: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Declarar prioritaria y urgente la reconstrucción del puente del Seminario en la carretera A-222 a su paso por Belchite, estableciendo un calendario de ejecución transparente y con plazos reducidos.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Acondicionar de inmediato el camino rural alternativo de 3,5 km actualmente utilizado por la mayoría de vehículos, dotándolo de las condiciones mínimas de seguridad (ensanchamiento, refuerzo de firme, señalización adecuada).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 periódicamente a los ayuntamientos afectados y a la ciudadanía sobre el estado de las obras y los plazos previstos, garantizando transparencia y coordinación institucional.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1779270</wp:posOffset>
            </wp:positionH>
            <wp:positionV relativeFrom="paragraph">
              <wp:posOffset>719455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02 de septiembre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