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 sobre el impulso a los concursos de energía, solicitando su tramitación ante la Comisión Institucional y de Desarrollo Estatutario.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Aragón se ha consolidado en los últimos años como una de las regiones más dinámicas de España en la captación de grandes proyectos industriales, tecnológicos y energéticos, gracias a su excelente ubicación, el impulso de las energías renovables y la disponibilidad de suelo industrial. La Comunidad Autónoma se encuentra ante una oportunidad histórica para reforzar su papel como motor económico y referente nacional en la transición energética, con iniciativas que suman más de 40.000 millones de euros en inversiones comprometidas.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embargo, el retraso en la convocatoria y resolución de los concursos de acceso a la red eléctrica por parte del Ministerio para la Transición Ecológica y el Reto Demográfico está suponiendo un grave obstáculo para el desarrollo económico de Aragón. En concreto, permanecen pendientes concursos que afectan a 5.792 MW de potencia, fundamentales para que grandes proyectos industriales y energéticos puedan acceder a la red eléctrica, requisito imprescindible para su implantación.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pronta resolución de estos concursos resulta vital para Aragón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dado que cualquier retraso adicional podría provocar: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cancelación o desvío de inversiones</w:t>
      </w:r>
      <w:r w:rsidDel="00000000" w:rsidR="00000000" w:rsidRPr="00000000">
        <w:rPr>
          <w:rFonts w:ascii="Arial" w:cs="Arial" w:eastAsia="Arial" w:hAnsi="Arial"/>
          <w:rtl w:val="0"/>
        </w:rPr>
        <w:t xml:space="preserve"> a otros territorios o países con procedimientos administrativos más ágiles, con la consiguiente pérdida de oportunidades económicas y de creación de empleo en nuestra Comunidad.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ralentización en la ejecución de proyectos estratégicos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como centros de datos, complejos agroalimentarios o instalaciones de almacenamiento energético, que son clave para la modernización del tejido productivo aragonés.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Un impacto negativo en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transición ecológica y los objetivos de descarbonización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al impedir el desarrollo de nuevas plantas renovables y sistemas de almacenamiento necesarios para alcanzar los compromisos climáticos nacionales y europeos.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La pérdida de competitividad frente a otras regiones, lo que comprometería la capacidad de Aragón para atraer y retener nuevas inversiones en sectores emergentes de alto valor añadido.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esta situación puede afectar a pequeñas y medianas empresas locales vinculadas a la construcción, la ingeniería y los servicios auxiliares, que dependen de la ejecución de estos proyectos para mantener y generar empleo de calidad. En un contexto de creciente demanda de energía limpia y de industrialización,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 imprescindible contar con una red eléctrica que crezca al ritmo de las necesidades de inversión real</w:t>
      </w:r>
      <w:r w:rsidDel="00000000" w:rsidR="00000000" w:rsidRPr="00000000">
        <w:rPr>
          <w:rFonts w:ascii="Arial" w:cs="Arial" w:eastAsia="Arial" w:hAnsi="Arial"/>
          <w:rtl w:val="0"/>
        </w:rPr>
        <w:t xml:space="preserve">, evitando cuellos de botella que frenen el desarrollo económico.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lo anterior, es urgente que el Gobierno de España adopte medidas inmediatas para convocar y resolver los concursos de acceso eléctrico en Aragón, así como para establecer procedimientos más eficientes y transparentes que garanticen que nuestra Comunidad pueda aprovechar plenamente su potencial energético, industrial y tecnológico, contribuyendo a la cohesión territorial y al liderazgo de Aragón en la transición hacia un modelo económico sostenible.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Proposición No de Ley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 Cortes de Aragón instan al Gobierno de Aragón a instar al Gobierno de España a: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Convocar de forma inmediata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los concursos de acceso eléctrico pendientes en Aragón, permitiendo desbloquear 5.792 MW de potencia y facilitar inversiones comprometidas por valor de más de 40.000 millones de euros, fundamentales para el desarrollo industrial, tecnológico y energético de la Comunidad Autónoma.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procedimientos administrativos más ágiles y con plazos vinculantes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garanticen la resolución de futuros concursos de acceso eléctrico en un tiempo razonable y adaptado al ritmo de crecimiento industrial y energético de Aragón.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Publicar un plan bianual de inversiones en la red de transporte eléctrico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anticipe y refuerce las redes de transporte de energía en las zonas de mayor producción y consumo industrial, como es el caso de Aragón.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Impulsar la colaboración público-privada en la inversión y desarrollo de las redes de transporte de energía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facilitando la participación del capital privado en proyectos estratégicos que mejoren la infraestructura eléctrica.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1674495</wp:posOffset>
            </wp:positionH>
            <wp:positionV relativeFrom="paragraph">
              <wp:posOffset>80010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7 de julio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