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al Consejero de Sanidad del Gobierno de Aragón, la siguiente Pregunta relativa al estado en el que se encuentra la ampliación de Hospital de Teruel con la construcción de 54 habitaciones individuales y el búnker de radioterapia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Tras la aprobación de unas enmiendas para la construcción de una ampliación de 54 habitaciones individuales y del búnker de radioterapia en el nuevo Hospital de Teruel.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 qué estado de ejecución presupuestarias se encuentran las partidas presupuestarias resultante de las enmiendas incluidas en el presupuesto a iniciativa de Teruel Existe en relacionadas al contrato de construcción de la ampliación de 54 habitaciones individuales y la construcción del búnker de radioterapia?</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09 de octubre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