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3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20a7ldtq32ds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dqzhb5zh6g16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88/2</w:t>
      </w:r>
      <w:bookmarkStart w:colFirst="0" w:colLast="0" w:name="s32so5fbljhz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sobre la mal llamada condonación de la deuda, la siguiente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dwlnp812a01z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ADICIÓN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Añadir un punto 5 con la siguiente redacción:</w:t>
        <w:br w:type="textWrapping"/>
        <w:br w:type="textWrapping"/>
        <w:t xml:space="preserve">5. Instan al Gobierno de Aragón para que inste al Gobierno de España a que en el nuevo sistema de Financiación Autonómica se tenga en cuenta lo establecido en Ley Orgánica 5/2007, de 20 de abril, de reforma del Estatuto de Autonomía de Aragón, especialmente los dispuesto en el artículo 108 y la disposición adicional sexta.</w:t>
      </w:r>
    </w:p>
    <w:bookmarkStart w:colFirst="0" w:colLast="0" w:name="jty5j92tttw" w:id="4"/>
    <w:bookmarkEnd w:id="4"/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5pfwpvlbflde" w:id="5"/>
    <w:bookmarkEnd w:id="5"/>
    <w:p w:rsidR="00000000" w:rsidDel="00000000" w:rsidP="00000000" w:rsidRDefault="00000000" w:rsidRPr="00000000" w14:paraId="0000000E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ji41meypz5t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3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4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653vq8ni9pmo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11 de marzo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