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 relativa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impulsar el aumento de la oferta educativa en la comarca de La Ribagorza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su tramitación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Bilateralidad, conferencia fiscal y financiera, coste real de los servicios en los que influye la despoblación, dispersión, orografía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instar al Gobierno de España a:</w:t>
        <w:br w:type="textWrapping"/>
        <w:t xml:space="preserve">a) Realizar todas las gestiones necesarias para conseguir la aplicación del artículo 108 y la Disposición Adicional Sexta del Estatuto de Autonomía de Aragón y a conformar un grupo de trabajo que estudie como crear y poner en marcha, lo antes posible, la Hacienda Foral Aragonesa para garantizar que las Comunidades Autónomas puedan prestar los servicios con equidad en todo el territorio y atiendan a los criterios de despoblación, dispersión y orografía que son fundamentales en el coste real de la prestación de servicios.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Crear una comisión de estudio de la deuda histórica, que cuantifique con datos la deuda que el Estado tiene con nuestra Comunidad y a licitar de forma urgente las infraestructuras que el Estado ha dejado de ejecutar históricamente en Aragón.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1693545</wp:posOffset>
            </wp:positionH>
            <wp:positionV relativeFrom="paragraph">
              <wp:posOffset>9525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30 de enero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