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una línea de ayudas que facilite a los municipios a cumplir el requerimiento del Gobierno de Aragón en materia de retirada del amianto</w:t>
      </w:r>
      <w:r w:rsidDel="00000000" w:rsidR="00000000" w:rsidRPr="00000000">
        <w:rPr>
          <w:rFonts w:ascii="Arial" w:cs="Arial" w:eastAsia="Arial" w:hAnsi="Arial"/>
          <w:rtl w:val="0"/>
        </w:rPr>
        <w:t xml:space="preserve">, solicitando su tramitación ante la Comisión Fomento, Vivienda, Logística y Cohesión Territorial.</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shd w:fill="ffffff" w:val="clear"/>
        <w:spacing w:after="150" w:before="90" w:line="240" w:lineRule="auto"/>
        <w:rPr>
          <w:rFonts w:ascii="Arial" w:cs="Arial" w:eastAsia="Arial" w:hAnsi="Arial"/>
        </w:rPr>
      </w:pPr>
      <w:r w:rsidDel="00000000" w:rsidR="00000000" w:rsidRPr="00000000">
        <w:rPr>
          <w:rFonts w:ascii="Arial" w:cs="Arial" w:eastAsia="Arial" w:hAnsi="Arial"/>
          <w:rtl w:val="0"/>
        </w:rPr>
        <w:t xml:space="preserve">El Gobierno de Aragón ha requerido a todos los municipios la retirada del amianto de sus instalaciones, conforme a la ley estatal que obliga a elaborar un inventario y un calendario para su eliminación. Esta medida, aunque necesaria para la protección de la salud pública y el medio ambiente, supone un desafío significativo para los municipios aragoneses debido al elevado coste de la retirada y gestión de estos materiales peligrosos.</w:t>
      </w:r>
    </w:p>
    <w:p w:rsidR="00000000" w:rsidDel="00000000" w:rsidP="00000000" w:rsidRDefault="00000000" w:rsidRPr="00000000" w14:paraId="00000008">
      <w:pPr>
        <w:shd w:fill="ffffff" w:val="clear"/>
        <w:spacing w:after="150" w:before="90" w:line="240" w:lineRule="auto"/>
        <w:rPr>
          <w:rFonts w:ascii="Arial" w:cs="Arial" w:eastAsia="Arial" w:hAnsi="Arial"/>
        </w:rPr>
      </w:pPr>
      <w:r w:rsidDel="00000000" w:rsidR="00000000" w:rsidRPr="00000000">
        <w:rPr>
          <w:rFonts w:ascii="Arial" w:cs="Arial" w:eastAsia="Arial" w:hAnsi="Arial"/>
          <w:rtl w:val="0"/>
        </w:rPr>
        <w:t xml:space="preserve">El amianto, conocido por sus propiedades aislantes y su resistencia al calor, fue ampliamente utilizado en la construcción hasta que se descubrieron sus efectos nocivos para la salud. La exposición al amianto puede causar enfermedades graves como la asbestosis, el cáncer de pulmón y el mesotelioma. Por esta razón, su eliminación es una prioridad para garantizar la seguridad de los ciudadanos y el cumplimiento de las normativas de salud pública.</w:t>
      </w:r>
    </w:p>
    <w:p w:rsidR="00000000" w:rsidDel="00000000" w:rsidP="00000000" w:rsidRDefault="00000000" w:rsidRPr="00000000" w14:paraId="00000009">
      <w:pPr>
        <w:shd w:fill="ffffff" w:val="clear"/>
        <w:spacing w:after="150" w:before="90" w:line="240" w:lineRule="auto"/>
        <w:rPr>
          <w:rFonts w:ascii="Arial" w:cs="Arial" w:eastAsia="Arial" w:hAnsi="Arial"/>
        </w:rPr>
      </w:pPr>
      <w:r w:rsidDel="00000000" w:rsidR="00000000" w:rsidRPr="00000000">
        <w:rPr>
          <w:rFonts w:ascii="Arial" w:cs="Arial" w:eastAsia="Arial" w:hAnsi="Arial"/>
          <w:rtl w:val="0"/>
        </w:rPr>
        <w:t xml:space="preserve">Sin embargo, la retirada del amianto no es una tarea sencilla ni económica. Los municipios deben contratar a empresas especializadas y homologadas para llevar a cabo la retirada de estos materiales, lo que incrementa considerablemente los costos operativos. Además, el proceso de eliminación debe seguir estrictos protocolos de seguridad para evitar la liberación de fibras de amianto al medio ambiente, lo que añade complejidad y coste al procedimiento.</w:t>
      </w:r>
    </w:p>
    <w:p w:rsidR="00000000" w:rsidDel="00000000" w:rsidP="00000000" w:rsidRDefault="00000000" w:rsidRPr="00000000" w14:paraId="0000000A">
      <w:pPr>
        <w:shd w:fill="ffffff" w:val="clear"/>
        <w:spacing w:after="150" w:before="90" w:line="240" w:lineRule="auto"/>
        <w:rPr>
          <w:rFonts w:ascii="Arial" w:cs="Arial" w:eastAsia="Arial" w:hAnsi="Arial"/>
        </w:rPr>
      </w:pPr>
      <w:r w:rsidDel="00000000" w:rsidR="00000000" w:rsidRPr="00000000">
        <w:rPr>
          <w:rFonts w:ascii="Arial" w:cs="Arial" w:eastAsia="Arial" w:hAnsi="Arial"/>
          <w:rtl w:val="0"/>
        </w:rPr>
        <w:t xml:space="preserve">Los alcaldes de los municipios aragoneses han expresado su preocupación por la carga financiera que esta obligación representa, calificándola de "inasumible" sin apoyo económico adicional. Muchos municipios, especialmente los más pequeños, carecen de los recursos financieros necesarios para afrontar estos gastos sin comprometer otros servicios esenciales para la comunidad. La situación se agrava en aquellos municipios que cuentan con un gran número de edificios públicos antiguos, donde la presencia de amianto es más común.</w:t>
      </w:r>
    </w:p>
    <w:p w:rsidR="00000000" w:rsidDel="00000000" w:rsidP="00000000" w:rsidRDefault="00000000" w:rsidRPr="00000000" w14:paraId="0000000B">
      <w:pPr>
        <w:shd w:fill="ffffff" w:val="clear"/>
        <w:spacing w:after="150" w:before="90" w:line="240" w:lineRule="auto"/>
        <w:rPr>
          <w:rFonts w:ascii="Arial" w:cs="Arial" w:eastAsia="Arial" w:hAnsi="Arial"/>
        </w:rPr>
      </w:pPr>
      <w:r w:rsidDel="00000000" w:rsidR="00000000" w:rsidRPr="00000000">
        <w:rPr>
          <w:rFonts w:ascii="Arial" w:cs="Arial" w:eastAsia="Arial" w:hAnsi="Arial"/>
          <w:rtl w:val="0"/>
        </w:rPr>
        <w:t xml:space="preserve">Además, la falta de asesoramiento técnico y apoyo logístico por parte de las autoridades competentes puede dificultar aún más el cumplimiento de esta normativa. Los municipios necesitan orientación sobre cómo elaborar los inventarios de amianto, cómo gestionar su retirada y cómo asegurar que todo el proceso se realice de manera segura y conforme a la normativa vigente.</w:t>
      </w:r>
    </w:p>
    <w:p w:rsidR="00000000" w:rsidDel="00000000" w:rsidP="00000000" w:rsidRDefault="00000000" w:rsidRPr="00000000" w14:paraId="0000000C">
      <w:pPr>
        <w:shd w:fill="ffffff" w:val="clear"/>
        <w:spacing w:after="150" w:before="90" w:line="240" w:lineRule="auto"/>
        <w:rPr>
          <w:rFonts w:ascii="Quattrocento Sans" w:cs="Quattrocento Sans" w:eastAsia="Quattrocento Sans" w:hAnsi="Quattrocento Sans"/>
          <w:color w:val="424242"/>
          <w:sz w:val="24"/>
          <w:szCs w:val="24"/>
        </w:rPr>
      </w:pPr>
      <w:r w:rsidDel="00000000" w:rsidR="00000000" w:rsidRPr="00000000">
        <w:rPr>
          <w:rtl w:val="0"/>
        </w:rPr>
      </w:r>
    </w:p>
    <w:p w:rsidR="00000000" w:rsidDel="00000000" w:rsidP="00000000" w:rsidRDefault="00000000" w:rsidRPr="00000000" w14:paraId="0000000D">
      <w:pPr>
        <w:shd w:fill="ffffff"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  Por todo ello, esta Agrupación Parlamentaria presenta la siguiente</w:t>
      </w:r>
    </w:p>
    <w:p w:rsidR="00000000" w:rsidDel="00000000" w:rsidP="00000000" w:rsidRDefault="00000000" w:rsidRPr="00000000" w14:paraId="0000000E">
      <w:pPr>
        <w:shd w:fill="ffffff"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shd w:fill="ffffff" w:val="clear"/>
        <w:spacing w:after="150" w:before="90" w:line="240" w:lineRule="auto"/>
        <w:rPr>
          <w:rFonts w:ascii="Quattrocento Sans" w:cs="Quattrocento Sans" w:eastAsia="Quattrocento Sans" w:hAnsi="Quattrocento Sans"/>
          <w:color w:val="424242"/>
          <w:sz w:val="24"/>
          <w:szCs w:val="24"/>
        </w:rPr>
      </w:pPr>
      <w:r w:rsidDel="00000000" w:rsidR="00000000" w:rsidRPr="00000000">
        <w:rPr>
          <w:rFonts w:ascii="Quattrocento Sans" w:cs="Quattrocento Sans" w:eastAsia="Quattrocento Sans" w:hAnsi="Quattrocento Sans"/>
          <w:color w:val="424242"/>
          <w:sz w:val="24"/>
          <w:szCs w:val="24"/>
          <w:rtl w:val="0"/>
        </w:rPr>
        <w:t xml:space="preserve">Las Cortes de Aragón instan al Gobierno de Aragón a:</w:t>
      </w:r>
    </w:p>
    <w:p w:rsidR="00000000" w:rsidDel="00000000" w:rsidP="00000000" w:rsidRDefault="00000000" w:rsidRPr="00000000" w14:paraId="00000015">
      <w:pPr>
        <w:numPr>
          <w:ilvl w:val="0"/>
          <w:numId w:val="1"/>
        </w:numPr>
        <w:shd w:fill="ffffff" w:val="clear"/>
        <w:spacing w:after="0" w:before="280" w:line="240" w:lineRule="auto"/>
        <w:ind w:left="720" w:hanging="360"/>
        <w:rPr>
          <w:rFonts w:ascii="Quattrocento Sans" w:cs="Quattrocento Sans" w:eastAsia="Quattrocento Sans" w:hAnsi="Quattrocento Sans"/>
          <w:color w:val="424242"/>
          <w:sz w:val="24"/>
          <w:szCs w:val="24"/>
        </w:rPr>
      </w:pPr>
      <w:r w:rsidDel="00000000" w:rsidR="00000000" w:rsidRPr="00000000">
        <w:rPr>
          <w:rFonts w:ascii="Quattrocento Sans" w:cs="Quattrocento Sans" w:eastAsia="Quattrocento Sans" w:hAnsi="Quattrocento Sans"/>
          <w:color w:val="424242"/>
          <w:sz w:val="24"/>
          <w:szCs w:val="24"/>
          <w:rtl w:val="0"/>
        </w:rPr>
        <w:t xml:space="preserve">Crear una línea de ayudas económicas destinada a los municipios aragoneses para la retirada del amianto de sus instalaciones.</w:t>
      </w:r>
    </w:p>
    <w:p w:rsidR="00000000" w:rsidDel="00000000" w:rsidP="00000000" w:rsidRDefault="00000000" w:rsidRPr="00000000" w14:paraId="00000016">
      <w:pPr>
        <w:numPr>
          <w:ilvl w:val="0"/>
          <w:numId w:val="1"/>
        </w:numPr>
        <w:shd w:fill="ffffff" w:val="clear"/>
        <w:spacing w:after="0" w:before="0" w:line="240" w:lineRule="auto"/>
        <w:ind w:left="720" w:hanging="360"/>
        <w:rPr>
          <w:rFonts w:ascii="Quattrocento Sans" w:cs="Quattrocento Sans" w:eastAsia="Quattrocento Sans" w:hAnsi="Quattrocento Sans"/>
          <w:color w:val="424242"/>
          <w:sz w:val="24"/>
          <w:szCs w:val="24"/>
        </w:rPr>
      </w:pPr>
      <w:r w:rsidDel="00000000" w:rsidR="00000000" w:rsidRPr="00000000">
        <w:rPr>
          <w:rFonts w:ascii="Quattrocento Sans" w:cs="Quattrocento Sans" w:eastAsia="Quattrocento Sans" w:hAnsi="Quattrocento Sans"/>
          <w:color w:val="424242"/>
          <w:sz w:val="24"/>
          <w:szCs w:val="24"/>
          <w:rtl w:val="0"/>
        </w:rPr>
        <w:t xml:space="preserve">Establecer un fondo específico que cubra los costos de inventario, retirada y gestión de los materiales que contienen amianto.</w:t>
      </w:r>
    </w:p>
    <w:p w:rsidR="00000000" w:rsidDel="00000000" w:rsidP="00000000" w:rsidRDefault="00000000" w:rsidRPr="00000000" w14:paraId="00000017">
      <w:pPr>
        <w:numPr>
          <w:ilvl w:val="0"/>
          <w:numId w:val="1"/>
        </w:numPr>
        <w:shd w:fill="ffffff" w:val="clear"/>
        <w:spacing w:after="280" w:before="0" w:line="240" w:lineRule="auto"/>
        <w:ind w:left="720" w:hanging="360"/>
        <w:rPr>
          <w:rFonts w:ascii="Quattrocento Sans" w:cs="Quattrocento Sans" w:eastAsia="Quattrocento Sans" w:hAnsi="Quattrocento Sans"/>
          <w:color w:val="424242"/>
          <w:sz w:val="24"/>
          <w:szCs w:val="24"/>
        </w:rPr>
      </w:pPr>
      <w:r w:rsidDel="00000000" w:rsidR="00000000" w:rsidRPr="00000000">
        <w:rPr>
          <w:rFonts w:ascii="Quattrocento Sans" w:cs="Quattrocento Sans" w:eastAsia="Quattrocento Sans" w:hAnsi="Quattrocento Sans"/>
          <w:color w:val="424242"/>
          <w:sz w:val="24"/>
          <w:szCs w:val="24"/>
          <w:rtl w:val="0"/>
        </w:rPr>
        <w:t xml:space="preserve">Facilitar asesoramiento técnico y apoyo logístico a los municipios para asegurar que la retirada del amianto se realice de manera segura y conforme a la normativa vigente.</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360" w:firstLine="0"/>
        <w:jc w:val="both"/>
        <w:rPr>
          <w:rFonts w:ascii="Arial" w:cs="Arial" w:eastAsia="Arial" w:hAnsi="Arial"/>
        </w:rPr>
      </w:pPr>
      <w:r w:rsidDel="00000000" w:rsidR="00000000" w:rsidRPr="00000000">
        <w:rPr>
          <w:rFonts w:ascii="Arial" w:cs="Arial" w:eastAsia="Arial" w:hAnsi="Arial"/>
          <w:rtl w:val="0"/>
        </w:rPr>
        <w:tab/>
      </w:r>
      <w:r w:rsidDel="00000000" w:rsidR="00000000" w:rsidRPr="00000000">
        <w:drawing>
          <wp:anchor allowOverlap="1" behindDoc="0" distB="0" distT="0" distL="114300" distR="114300" hidden="0" layoutInCell="1" locked="0" relativeHeight="0" simplePos="0">
            <wp:simplePos x="0" y="0"/>
            <wp:positionH relativeFrom="column">
              <wp:posOffset>1674468</wp:posOffset>
            </wp:positionH>
            <wp:positionV relativeFrom="paragraph">
              <wp:posOffset>617855</wp:posOffset>
            </wp:positionV>
            <wp:extent cx="2968625" cy="2313305"/>
            <wp:effectExtent b="0" l="0" r="0" t="0"/>
            <wp:wrapNone/>
            <wp:docPr descr="Imagen que contiene Logotipo&#10;&#10;Descripción generada automáticamente" id="2"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22 de abril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