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impulsar el desarrollo de la provincia de Teruel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la Comisión Institucional y de Desarrollo Estatutario.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provincia de Teruel arrastra históricamente un déficit estructural en infraestructuras, lo que ha provocado graves problemas de despoblación, envejecimiento y desindustrialización. La puesta en marcha de la línea eléctrica Mezquita–Platea constituye una infraestructura estratégica para impulsar el crecimiento económico de la provincia, mejorar su competitividad y atraer inversiones que generen empleo y riqueza en el territorio.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línea de evacuación eléctrica es fundamental para dotar de suministro estable y de calidad a la Plataforma Logística de Teruel (Platea), a sus actuales y futuras empresas, así como a todo el tejido productivo de la zona. Sin un suministro energético adecuado, cualquier política de reactivación industrial y de lucha contra la despoblación estaría condenada al fracaso.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embargo, asistimos con preocupación a cómo determinados grupos políticos están recurriendo a la vía judicial para tratar de paralizar o demorar esta infraestructura esencial. Estas maniobras de judicialización, basadas muchas veces en argumentos oportunistas más que en fundamentos técnicos o jurídicos sólidos, buscan frenar el progreso de Teruel, anteponiendo intereses ideológicos o partidistas a las legítimas aspiraciones de desarrollo de la provincia.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paralización de la línea eléctrica Mezquita–Platea es un golpe inaceptable para las oportunidades de futuro de Teruel y supone un nuevo agravio para una tierra que ya ha soportado demasiados retrasos y olvidos.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esta Agrupación Parlamentaria presenta la siguiente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Proposición No de Ley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 Cortes de Aragón instan al Gobierno de Aragón a instar al Gobierno de España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Garantizar la continuidad y finalización sin demoras de las obras de la línea eléctrica Mezquita–Platea, conforme a los plazos establecidos.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Mantener el calendario de ejecución de las obras del corredor Cantábrico-Mediterráneo tal y como estaba previsto en la licitación.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Impulsar las actuaciones complementarias necesarias para garantizar la plena operatividad y conexión de la Plataforma Logística Platea con el resto de redes ferroviarias nacionales.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1674468</wp:posOffset>
            </wp:positionH>
            <wp:positionV relativeFrom="paragraph">
              <wp:posOffset>617855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2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29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