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Agricultura, Ganadería y Alimentación del Gobierno de Aragón, la siguiente Pregunta sobre la situación de los mataderos de Aragón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3r4pu8cfddss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considera su departamento que afectará la subida del 226,01% en las tasas de los mataderos para financiar la Agencia de Salud Pública?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21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