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 Alberto Izquierdo Vicente, Portavoz de la agrupación Parlamentaria Partido Aragonés – Grupo Mixto, de acuerdo con lo establecido en el artículo 263 del Reglamento de las Cortes de Aragón, formula</w:t>
      </w:r>
      <w:bookmarkStart w:colFirst="0" w:colLast="0" w:name="kblynmy6ogm6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 al Consejero de Sanidad, para su respuesta escrita, la siguiente Pregunta relativa a las agresiones a personal sanitario en Aragón. </w:t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ktrvygskso3e" w:id="1"/>
    <w:bookmarkEnd w:id="1"/>
    <w:p w:rsidR="00000000" w:rsidDel="00000000" w:rsidP="00000000" w:rsidRDefault="00000000" w:rsidRPr="00000000" w14:paraId="0000000A">
      <w:pPr>
        <w:spacing w:after="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¿Cuál es el protocolo existente para actuar en casos de agresiones a profesionales sanitarios en los centros médicos aragoneses?</w:t>
        <w:br w:type="textWrapping"/>
        <w:t xml:space="preserve">¿Cuántos casos de agresiones a personal sanitario se han registrado en Aragón desde el comienzo de la legislatura? Desglosado por centros sanitario 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10 de febrero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